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78800" w14:textId="77777777" w:rsidR="000E40FF" w:rsidRPr="000E40FF" w:rsidRDefault="000E40FF" w:rsidP="000E40FF">
      <w:pPr>
        <w:spacing w:after="160" w:line="254" w:lineRule="auto"/>
        <w:jc w:val="center"/>
        <w:rPr>
          <w:rFonts w:cstheme="minorHAnsi"/>
        </w:rPr>
      </w:pPr>
      <w:r w:rsidRPr="000E40FF">
        <w:rPr>
          <w:rFonts w:eastAsia="Times New Roman" w:cstheme="minorHAnsi"/>
          <w:b/>
          <w:bCs/>
          <w:iCs/>
          <w:sz w:val="28"/>
          <w:szCs w:val="28"/>
          <w:lang w:eastAsia="de-DE"/>
        </w:rPr>
        <w:t xml:space="preserve">Antrag zur Delegiertenkonferenz der </w:t>
      </w:r>
      <w:proofErr w:type="gramStart"/>
      <w:r w:rsidRPr="000E40FF">
        <w:rPr>
          <w:rFonts w:eastAsia="Times New Roman" w:cstheme="minorHAnsi"/>
          <w:b/>
          <w:bCs/>
          <w:iCs/>
          <w:sz w:val="28"/>
          <w:szCs w:val="28"/>
          <w:lang w:eastAsia="de-DE"/>
        </w:rPr>
        <w:t>SPD Frauen</w:t>
      </w:r>
      <w:proofErr w:type="gramEnd"/>
      <w:r w:rsidRPr="000E40FF">
        <w:rPr>
          <w:rFonts w:eastAsia="Times New Roman" w:cstheme="minorHAnsi"/>
          <w:b/>
          <w:bCs/>
          <w:iCs/>
          <w:sz w:val="28"/>
          <w:szCs w:val="28"/>
          <w:lang w:eastAsia="de-DE"/>
        </w:rPr>
        <w:t xml:space="preserve"> Köln am 22.6.24</w:t>
      </w:r>
    </w:p>
    <w:p w14:paraId="70D96427" w14:textId="77777777" w:rsidR="000E40FF" w:rsidRPr="000E40FF" w:rsidRDefault="000E40FF" w:rsidP="000E40FF">
      <w:pPr>
        <w:spacing w:after="0" w:line="240" w:lineRule="auto"/>
        <w:jc w:val="center"/>
        <w:rPr>
          <w:rFonts w:eastAsia="Times New Roman" w:cstheme="minorHAnsi"/>
          <w:bCs/>
          <w:iCs/>
          <w:sz w:val="28"/>
          <w:szCs w:val="28"/>
          <w:lang w:eastAsia="de-DE"/>
        </w:rPr>
      </w:pPr>
      <w:r w:rsidRPr="000E40FF">
        <w:rPr>
          <w:rFonts w:eastAsia="Times New Roman" w:cstheme="minorHAnsi"/>
          <w:bCs/>
          <w:iCs/>
          <w:sz w:val="28"/>
          <w:szCs w:val="28"/>
          <w:lang w:eastAsia="de-DE"/>
        </w:rPr>
        <w:t xml:space="preserve">Antragsteller: Vorstand </w:t>
      </w:r>
      <w:proofErr w:type="gramStart"/>
      <w:r w:rsidRPr="000E40FF">
        <w:rPr>
          <w:rFonts w:eastAsia="Times New Roman" w:cstheme="minorHAnsi"/>
          <w:bCs/>
          <w:iCs/>
          <w:sz w:val="28"/>
          <w:szCs w:val="28"/>
          <w:lang w:eastAsia="de-DE"/>
        </w:rPr>
        <w:t>SPD Frauen</w:t>
      </w:r>
      <w:proofErr w:type="gramEnd"/>
      <w:r w:rsidRPr="000E40FF">
        <w:rPr>
          <w:rFonts w:eastAsia="Times New Roman" w:cstheme="minorHAnsi"/>
          <w:bCs/>
          <w:iCs/>
          <w:sz w:val="28"/>
          <w:szCs w:val="28"/>
          <w:lang w:eastAsia="de-DE"/>
        </w:rPr>
        <w:t xml:space="preserve"> Köln</w:t>
      </w:r>
    </w:p>
    <w:p w14:paraId="774FFBCE" w14:textId="77777777" w:rsidR="000E40FF" w:rsidRPr="000E40FF" w:rsidRDefault="000E40FF" w:rsidP="007A5418">
      <w:pPr>
        <w:spacing w:after="160"/>
        <w:rPr>
          <w:rFonts w:eastAsia="Times New Roman" w:cstheme="minorHAnsi"/>
          <w:kern w:val="2"/>
          <w:sz w:val="24"/>
          <w:szCs w:val="24"/>
          <w:lang w:eastAsia="de-DE"/>
          <w14:ligatures w14:val="standardContextual"/>
        </w:rPr>
      </w:pPr>
    </w:p>
    <w:p w14:paraId="64AE69F8" w14:textId="527BFF34" w:rsidR="000E40FF" w:rsidRPr="000E40FF" w:rsidRDefault="007A5418" w:rsidP="007A5418">
      <w:pPr>
        <w:spacing w:after="160"/>
        <w:rPr>
          <w:rFonts w:eastAsia="Times New Roman" w:cstheme="minorHAnsi"/>
          <w:b/>
          <w:bCs/>
          <w:kern w:val="2"/>
          <w:sz w:val="24"/>
          <w:szCs w:val="24"/>
          <w:lang w:eastAsia="de-DE"/>
          <w14:ligatures w14:val="standardContextual"/>
        </w:rPr>
      </w:pPr>
      <w:r w:rsidRPr="000E40FF">
        <w:rPr>
          <w:rFonts w:eastAsia="Times New Roman" w:cstheme="minorHAnsi"/>
          <w:b/>
          <w:bCs/>
          <w:kern w:val="2"/>
          <w:sz w:val="24"/>
          <w:szCs w:val="24"/>
          <w:lang w:eastAsia="de-DE"/>
          <w14:ligatures w14:val="standardContextual"/>
        </w:rPr>
        <w:t>Häusliche Gewalt und Umsetzung des Artikel 31 der Istanbul-Konvention</w:t>
      </w:r>
    </w:p>
    <w:p w14:paraId="1229001B" w14:textId="6E4C8719" w:rsidR="000E40FF" w:rsidRPr="000E40FF" w:rsidRDefault="000E40FF" w:rsidP="007A5418">
      <w:pPr>
        <w:spacing w:after="160"/>
        <w:rPr>
          <w:rFonts w:eastAsia="Times New Roman" w:cstheme="minorHAnsi"/>
          <w:b/>
          <w:bCs/>
          <w:kern w:val="2"/>
          <w:sz w:val="24"/>
          <w:szCs w:val="24"/>
          <w:lang w:eastAsia="de-DE"/>
          <w14:ligatures w14:val="standardContextual"/>
        </w:rPr>
      </w:pPr>
      <w:r w:rsidRPr="000E40FF">
        <w:rPr>
          <w:rFonts w:eastAsia="Times New Roman" w:cstheme="minorHAnsi"/>
          <w:b/>
          <w:bCs/>
          <w:kern w:val="2"/>
          <w:sz w:val="24"/>
          <w:szCs w:val="24"/>
          <w:lang w:eastAsia="de-DE"/>
          <w14:ligatures w14:val="standardContextual"/>
        </w:rPr>
        <w:t>Beschluss:</w:t>
      </w:r>
    </w:p>
    <w:p w14:paraId="7148A2D5" w14:textId="1224359A" w:rsidR="007A5418" w:rsidRPr="000E40FF" w:rsidRDefault="007A5418" w:rsidP="007A5418">
      <w:pPr>
        <w:spacing w:after="160"/>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Die Bundestagsfraktion wird aufgefordert, sich dafür einzusetzen, dass Artikel 31 der Istanbul-Konvention zur Bekämpfung von Gewalt gegen Frauen wirksam umgesetzt wird.</w:t>
      </w:r>
    </w:p>
    <w:p w14:paraId="0A9BBCD1" w14:textId="77777777" w:rsidR="007A5418" w:rsidRPr="000E40FF" w:rsidRDefault="007A5418" w:rsidP="007A5418">
      <w:pPr>
        <w:spacing w:after="160"/>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Dies bedeutet:</w:t>
      </w:r>
    </w:p>
    <w:p w14:paraId="13A76616" w14:textId="77777777" w:rsidR="007A5418" w:rsidRPr="000E40FF" w:rsidRDefault="007A5418" w:rsidP="007A5418">
      <w:pPr>
        <w:spacing w:after="160"/>
        <w:rPr>
          <w:rFonts w:eastAsia="Aptos"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 xml:space="preserve">In den einschlägigen Bestimmungen des BGB und des </w:t>
      </w:r>
      <w:r w:rsidRPr="000E40FF">
        <w:rPr>
          <w:rFonts w:eastAsia="Aptos" w:cstheme="minorHAnsi"/>
          <w:kern w:val="2"/>
          <w:sz w:val="24"/>
          <w:szCs w:val="24"/>
          <w:lang w:eastAsia="de-DE"/>
          <w14:ligatures w14:val="standardContextual"/>
        </w:rPr>
        <w:t>Gesetzes über das Verfahren in Familiensachen und in den Angelegenheiten der freiwilligen Gerichtsbarkeit (</w:t>
      </w:r>
      <w:proofErr w:type="spellStart"/>
      <w:r w:rsidRPr="000E40FF">
        <w:rPr>
          <w:rFonts w:eastAsia="Aptos" w:cstheme="minorHAnsi"/>
          <w:kern w:val="2"/>
          <w:sz w:val="24"/>
          <w:szCs w:val="24"/>
          <w:lang w:eastAsia="de-DE"/>
          <w14:ligatures w14:val="standardContextual"/>
        </w:rPr>
        <w:t>FamFG</w:t>
      </w:r>
      <w:proofErr w:type="spellEnd"/>
      <w:r w:rsidRPr="000E40FF">
        <w:rPr>
          <w:rFonts w:eastAsia="Aptos" w:cstheme="minorHAnsi"/>
          <w:kern w:val="2"/>
          <w:sz w:val="24"/>
          <w:szCs w:val="24"/>
          <w:lang w:eastAsia="de-DE"/>
          <w14:ligatures w14:val="standardContextual"/>
        </w:rPr>
        <w:t>) sind folgende Anpassungen vorzunehmen:</w:t>
      </w:r>
    </w:p>
    <w:p w14:paraId="18040A66"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 xml:space="preserve">Verankerung der Schutzinteressen des gewaltbetroffenen Elternteils durch Anpassung des </w:t>
      </w:r>
      <w:r w:rsidR="00264034" w:rsidRPr="000E40FF">
        <w:rPr>
          <w:rFonts w:eastAsia="Times New Roman" w:cstheme="minorHAnsi"/>
          <w:kern w:val="2"/>
          <w:sz w:val="24"/>
          <w:szCs w:val="24"/>
          <w:lang w:eastAsia="de-DE"/>
          <w14:ligatures w14:val="standardContextual"/>
        </w:rPr>
        <w:t>§</w:t>
      </w:r>
      <w:r w:rsidRPr="000E40FF">
        <w:rPr>
          <w:rFonts w:eastAsia="Times New Roman" w:cstheme="minorHAnsi"/>
          <w:kern w:val="2"/>
          <w:sz w:val="24"/>
          <w:szCs w:val="24"/>
          <w:lang w:eastAsia="de-DE"/>
          <w14:ligatures w14:val="standardContextual"/>
        </w:rPr>
        <w:t>1697a Abs. 1 BGB</w:t>
      </w:r>
    </w:p>
    <w:p w14:paraId="6E0FAB91"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verbesserte Berücksichtigung des Kindeswillens</w:t>
      </w:r>
    </w:p>
    <w:p w14:paraId="6A35C293"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konsequente Umsetzung den gewalttätigen Partner der</w:t>
      </w:r>
      <w:r w:rsidR="00264034" w:rsidRPr="000E40FF">
        <w:rPr>
          <w:rFonts w:eastAsia="Times New Roman" w:cstheme="minorHAnsi"/>
          <w:kern w:val="2"/>
          <w:sz w:val="24"/>
          <w:szCs w:val="24"/>
          <w:lang w:eastAsia="de-DE"/>
          <w14:ligatures w14:val="standardContextual"/>
        </w:rPr>
        <w:t xml:space="preserve"> Wohnung zu verweisen, § 30, Abs. 3 </w:t>
      </w:r>
      <w:proofErr w:type="spellStart"/>
      <w:r w:rsidR="00264034" w:rsidRPr="000E40FF">
        <w:rPr>
          <w:rFonts w:eastAsia="Times New Roman" w:cstheme="minorHAnsi"/>
          <w:kern w:val="2"/>
          <w:sz w:val="24"/>
          <w:szCs w:val="24"/>
          <w:lang w:eastAsia="de-DE"/>
          <w14:ligatures w14:val="standardContextual"/>
        </w:rPr>
        <w:t>PolG</w:t>
      </w:r>
      <w:proofErr w:type="spellEnd"/>
    </w:p>
    <w:p w14:paraId="2B7666A2"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Style w:val="FootnoteReference"/>
          <w:rFonts w:eastAsia="Times New Roman" w:cstheme="minorHAnsi"/>
          <w:kern w:val="2"/>
          <w:sz w:val="24"/>
          <w:szCs w:val="24"/>
          <w:lang w:eastAsia="de-DE"/>
          <w14:ligatures w14:val="standardContextual"/>
        </w:rPr>
        <w:footnoteReference w:id="1"/>
      </w:r>
      <w:r w:rsidRPr="000E40FF">
        <w:rPr>
          <w:rFonts w:eastAsia="Times New Roman" w:cstheme="minorHAnsi"/>
          <w:kern w:val="2"/>
          <w:sz w:val="24"/>
          <w:szCs w:val="24"/>
          <w:lang w:eastAsia="de-DE"/>
          <w14:ligatures w14:val="standardContextual"/>
        </w:rPr>
        <w:t xml:space="preserve">Anpassung der Regelvermutung für eine </w:t>
      </w:r>
      <w:proofErr w:type="spellStart"/>
      <w:r w:rsidRPr="000E40FF">
        <w:rPr>
          <w:rFonts w:eastAsia="Times New Roman" w:cstheme="minorHAnsi"/>
          <w:kern w:val="2"/>
          <w:sz w:val="24"/>
          <w:szCs w:val="24"/>
          <w:lang w:eastAsia="de-DE"/>
          <w14:ligatures w14:val="standardContextual"/>
        </w:rPr>
        <w:t>Kindeswohldienlichkeit</w:t>
      </w:r>
      <w:proofErr w:type="spellEnd"/>
      <w:r w:rsidRPr="000E40FF">
        <w:rPr>
          <w:rFonts w:eastAsia="Times New Roman" w:cstheme="minorHAnsi"/>
          <w:kern w:val="2"/>
          <w:sz w:val="24"/>
          <w:szCs w:val="24"/>
          <w:lang w:eastAsia="de-DE"/>
          <w14:ligatures w14:val="standardContextual"/>
        </w:rPr>
        <w:t xml:space="preserve"> des Umgangs mit beiden Elternteilen (1626 Abs. 3 BGB), ebenso Abrücken von der Grundannahme der gemeinsamen elterlichen Sorge (1626 ff. BGB) und des Einigungsgebots (§ 1627 S. 2 BGB) </w:t>
      </w:r>
    </w:p>
    <w:p w14:paraId="784C1789" w14:textId="77777777" w:rsidR="007A5418" w:rsidRPr="000E40FF" w:rsidRDefault="00264034"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Style w:val="FootnoteReference"/>
          <w:rFonts w:eastAsia="Times New Roman" w:cstheme="minorHAnsi"/>
          <w:kern w:val="2"/>
          <w:sz w:val="24"/>
          <w:szCs w:val="24"/>
          <w:lang w:eastAsia="de-DE"/>
          <w14:ligatures w14:val="standardContextual"/>
        </w:rPr>
        <w:footnoteReference w:id="2"/>
      </w:r>
      <w:r w:rsidR="007A5418" w:rsidRPr="000E40FF">
        <w:rPr>
          <w:rFonts w:eastAsia="Times New Roman" w:cstheme="minorHAnsi"/>
          <w:kern w:val="2"/>
          <w:sz w:val="24"/>
          <w:szCs w:val="24"/>
          <w:lang w:eastAsia="de-DE"/>
          <w14:ligatures w14:val="standardContextual"/>
        </w:rPr>
        <w:t>Aufnahme einer Regelvermutung für kurzfristige Umgangseinschränkung und -ausschlüsse in § 1684 Abs. 4 Satz 1 BGB für Fälle häuslicher Gewalt</w:t>
      </w:r>
    </w:p>
    <w:p w14:paraId="1A2FD5F0" w14:textId="77777777" w:rsidR="007A5418" w:rsidRPr="000E40FF" w:rsidRDefault="007A5418" w:rsidP="00264034">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 xml:space="preserve">Ergänzung von Zumutbarkeit und Zustimmung des betroffenen Elternteils als Voraussetzungen für die Aufrechterhaltung der gemeinsamen elterlichen Sorge in Fällen häuslicher Gewalt durch Aufnahme eines § 1671 Abs. 5 BGB  </w:t>
      </w:r>
    </w:p>
    <w:p w14:paraId="382F12B5"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 xml:space="preserve">Aufnahme einer Pflicht zur getrennten Anhörung der Beteiligten (§ 33 Abs.1 S. 1 </w:t>
      </w:r>
      <w:proofErr w:type="spellStart"/>
      <w:r w:rsidRPr="000E40FF">
        <w:rPr>
          <w:rFonts w:eastAsia="Times New Roman" w:cstheme="minorHAnsi"/>
          <w:kern w:val="2"/>
          <w:sz w:val="24"/>
          <w:szCs w:val="24"/>
          <w:lang w:eastAsia="de-DE"/>
          <w14:ligatures w14:val="standardContextual"/>
        </w:rPr>
        <w:t>FamfG</w:t>
      </w:r>
      <w:proofErr w:type="spellEnd"/>
      <w:r w:rsidRPr="000E40FF">
        <w:rPr>
          <w:rFonts w:eastAsia="Times New Roman" w:cstheme="minorHAnsi"/>
          <w:kern w:val="2"/>
          <w:sz w:val="24"/>
          <w:szCs w:val="24"/>
          <w:lang w:eastAsia="de-DE"/>
          <w14:ligatures w14:val="standardContextual"/>
        </w:rPr>
        <w:t>)</w:t>
      </w:r>
    </w:p>
    <w:p w14:paraId="00ED7E47"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lastRenderedPageBreak/>
        <w:t>Anordnung zur Teilnahme des gewaltbereiten Elternteils an einem sozialen Trainingskurs</w:t>
      </w:r>
    </w:p>
    <w:p w14:paraId="32121913"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Verbindliche Aus- und Fortbildungen für alle im Verfahren beteiligten Fachkräfte, insbesondere Richter*innen, Jugendamtsmitarbeitende, Sachverständige, Mitarbeitende der freien Jugendhilfe</w:t>
      </w:r>
    </w:p>
    <w:p w14:paraId="7B58B8FA" w14:textId="77777777" w:rsidR="007A5418" w:rsidRPr="000E40FF" w:rsidRDefault="007A5418" w:rsidP="007A5418">
      <w:pPr>
        <w:numPr>
          <w:ilvl w:val="0"/>
          <w:numId w:val="1"/>
        </w:numPr>
        <w:spacing w:after="160"/>
        <w:contextualSpacing/>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 xml:space="preserve">Pflicht zur Durchführung einer Gefährdungsanalyse und eines Gefahrenmanagements aller staatlichen Stellen nach zur Umsetzung des Art. 51 der Istanbul-Konvention (§§ 155 ff. </w:t>
      </w:r>
      <w:proofErr w:type="spellStart"/>
      <w:r w:rsidRPr="000E40FF">
        <w:rPr>
          <w:rFonts w:eastAsia="Times New Roman" w:cstheme="minorHAnsi"/>
          <w:kern w:val="2"/>
          <w:sz w:val="24"/>
          <w:szCs w:val="24"/>
          <w:lang w:eastAsia="de-DE"/>
          <w14:ligatures w14:val="standardContextual"/>
        </w:rPr>
        <w:t>FamfG</w:t>
      </w:r>
      <w:proofErr w:type="spellEnd"/>
      <w:r w:rsidRPr="000E40FF">
        <w:rPr>
          <w:rFonts w:eastAsia="Times New Roman" w:cstheme="minorHAnsi"/>
          <w:kern w:val="2"/>
          <w:sz w:val="24"/>
          <w:szCs w:val="24"/>
          <w:lang w:eastAsia="de-DE"/>
          <w14:ligatures w14:val="standardContextual"/>
        </w:rPr>
        <w:t>)</w:t>
      </w:r>
    </w:p>
    <w:p w14:paraId="15BD5AAD" w14:textId="77777777" w:rsidR="007A5418" w:rsidRPr="000E40FF" w:rsidRDefault="007A5418" w:rsidP="007A5418">
      <w:pPr>
        <w:spacing w:after="160"/>
        <w:ind w:left="720"/>
        <w:contextualSpacing/>
        <w:rPr>
          <w:rFonts w:eastAsia="Times New Roman" w:cstheme="minorHAnsi"/>
          <w:kern w:val="2"/>
          <w:sz w:val="24"/>
          <w:szCs w:val="24"/>
          <w:lang w:eastAsia="de-DE"/>
          <w14:ligatures w14:val="standardContextual"/>
        </w:rPr>
      </w:pPr>
    </w:p>
    <w:p w14:paraId="1C4C66DB" w14:textId="77777777" w:rsidR="007A5418" w:rsidRPr="000E40FF" w:rsidRDefault="007A5418" w:rsidP="007A5418">
      <w:pPr>
        <w:spacing w:after="160"/>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 xml:space="preserve">Zur Umsetzung der Istanbul-Konvention ist neben einer Gesetzesreform eine umfassende Strategie erforderlich, um bestehende strukturelle Probleme zu lösen. Es bedarf hierzu einer regelmäßigen Erhebung von Daten im Bereich der kindgerechten Justiz, sowie ausreichend finanzielle und personelle Ressourcen. </w:t>
      </w:r>
    </w:p>
    <w:p w14:paraId="3A12A864" w14:textId="77777777" w:rsidR="007A5418" w:rsidRPr="000E40FF" w:rsidRDefault="007A5418" w:rsidP="007A5418">
      <w:pPr>
        <w:spacing w:after="160"/>
        <w:rPr>
          <w:rFonts w:eastAsia="Times New Roman" w:cstheme="minorHAnsi"/>
          <w:b/>
          <w:kern w:val="2"/>
          <w:sz w:val="24"/>
          <w:szCs w:val="24"/>
          <w:lang w:eastAsia="de-DE"/>
          <w14:ligatures w14:val="standardContextual"/>
        </w:rPr>
      </w:pPr>
      <w:r w:rsidRPr="000E40FF">
        <w:rPr>
          <w:rFonts w:eastAsia="Times New Roman" w:cstheme="minorHAnsi"/>
          <w:b/>
          <w:kern w:val="2"/>
          <w:sz w:val="24"/>
          <w:szCs w:val="24"/>
          <w:lang w:eastAsia="de-DE"/>
          <w14:ligatures w14:val="standardContextual"/>
        </w:rPr>
        <w:t xml:space="preserve">Begründung: </w:t>
      </w:r>
    </w:p>
    <w:p w14:paraId="78D2CD15" w14:textId="77777777" w:rsidR="007A5418" w:rsidRPr="000E40FF" w:rsidRDefault="007A5418" w:rsidP="007A5418">
      <w:pPr>
        <w:spacing w:after="160"/>
        <w:rPr>
          <w:rFonts w:eastAsia="Times New Roman" w:cstheme="minorHAnsi"/>
          <w:kern w:val="2"/>
          <w:sz w:val="24"/>
          <w:szCs w:val="24"/>
          <w:lang w:eastAsia="de-DE"/>
          <w14:ligatures w14:val="standardContextual"/>
        </w:rPr>
      </w:pPr>
      <w:r w:rsidRPr="000E40FF">
        <w:rPr>
          <w:rFonts w:eastAsia="Times New Roman" w:cstheme="minorHAnsi"/>
          <w:kern w:val="2"/>
          <w:sz w:val="24"/>
          <w:szCs w:val="24"/>
          <w:lang w:eastAsia="de-DE"/>
          <w14:ligatures w14:val="standardContextual"/>
        </w:rPr>
        <w:t>Die Problemlage der häuslichen Gewalt ist</w:t>
      </w:r>
      <w:r w:rsidR="00174636" w:rsidRPr="000E40FF">
        <w:rPr>
          <w:rFonts w:eastAsia="Times New Roman" w:cstheme="minorHAnsi"/>
          <w:kern w:val="2"/>
          <w:sz w:val="24"/>
          <w:szCs w:val="24"/>
          <w:lang w:eastAsia="de-DE"/>
          <w14:ligatures w14:val="standardContextual"/>
        </w:rPr>
        <w:t xml:space="preserve"> ein weit verbreitetes Phänomen</w:t>
      </w:r>
      <w:r w:rsidRPr="000E40FF">
        <w:rPr>
          <w:rFonts w:eastAsia="Times New Roman" w:cstheme="minorHAnsi"/>
          <w:kern w:val="2"/>
          <w:sz w:val="24"/>
          <w:szCs w:val="24"/>
          <w:lang w:eastAsia="de-DE"/>
          <w14:ligatures w14:val="standardContextual"/>
        </w:rPr>
        <w:t xml:space="preserve"> und ist seit </w:t>
      </w:r>
      <w:proofErr w:type="gramStart"/>
      <w:r w:rsidRPr="000E40FF">
        <w:rPr>
          <w:rFonts w:eastAsia="Times New Roman" w:cstheme="minorHAnsi"/>
          <w:kern w:val="2"/>
          <w:sz w:val="24"/>
          <w:szCs w:val="24"/>
          <w:lang w:eastAsia="de-DE"/>
          <w14:ligatures w14:val="standardContextual"/>
        </w:rPr>
        <w:t>Jahren  in</w:t>
      </w:r>
      <w:proofErr w:type="gramEnd"/>
      <w:r w:rsidRPr="000E40FF">
        <w:rPr>
          <w:rFonts w:eastAsia="Times New Roman" w:cstheme="minorHAnsi"/>
          <w:kern w:val="2"/>
          <w:sz w:val="24"/>
          <w:szCs w:val="24"/>
          <w:lang w:eastAsia="de-DE"/>
          <w14:ligatures w14:val="standardContextual"/>
        </w:rPr>
        <w:t xml:space="preserve"> Wissenschaft,  Politik  und Praxis  bekannt.  Dennoch gibt es keinen</w:t>
      </w:r>
      <w:r w:rsidR="00174636" w:rsidRPr="000E40FF">
        <w:rPr>
          <w:rFonts w:eastAsia="Times New Roman" w:cstheme="minorHAnsi"/>
          <w:kern w:val="2"/>
          <w:sz w:val="24"/>
          <w:szCs w:val="24"/>
          <w:lang w:eastAsia="de-DE"/>
          <w14:ligatures w14:val="standardContextual"/>
        </w:rPr>
        <w:t xml:space="preserve"> </w:t>
      </w:r>
      <w:r w:rsidRPr="000E40FF">
        <w:rPr>
          <w:rFonts w:eastAsia="Times New Roman" w:cstheme="minorHAnsi"/>
          <w:kern w:val="2"/>
          <w:sz w:val="24"/>
          <w:szCs w:val="24"/>
          <w:lang w:eastAsia="de-DE"/>
          <w14:ligatures w14:val="standardContextual"/>
        </w:rPr>
        <w:t xml:space="preserve">rechtssicheren Rahmen </w:t>
      </w:r>
      <w:proofErr w:type="gramStart"/>
      <w:r w:rsidRPr="000E40FF">
        <w:rPr>
          <w:rFonts w:eastAsia="Times New Roman" w:cstheme="minorHAnsi"/>
          <w:kern w:val="2"/>
          <w:sz w:val="24"/>
          <w:szCs w:val="24"/>
          <w:lang w:eastAsia="de-DE"/>
          <w14:ligatures w14:val="standardContextual"/>
        </w:rPr>
        <w:t>für  Gewaltbetroffene</w:t>
      </w:r>
      <w:proofErr w:type="gramEnd"/>
      <w:r w:rsidRPr="000E40FF">
        <w:rPr>
          <w:rFonts w:eastAsia="Times New Roman" w:cstheme="minorHAnsi"/>
          <w:kern w:val="2"/>
          <w:sz w:val="24"/>
          <w:szCs w:val="24"/>
          <w:lang w:eastAsia="de-DE"/>
          <w14:ligatures w14:val="standardContextual"/>
        </w:rPr>
        <w:t>. Die bisherige Gesetzeslage ist nicht</w:t>
      </w:r>
      <w:r w:rsidR="00174636" w:rsidRPr="000E40FF">
        <w:rPr>
          <w:rFonts w:eastAsia="Times New Roman" w:cstheme="minorHAnsi"/>
          <w:kern w:val="2"/>
          <w:sz w:val="24"/>
          <w:szCs w:val="24"/>
          <w:lang w:eastAsia="de-DE"/>
          <w14:ligatures w14:val="standardContextual"/>
        </w:rPr>
        <w:t xml:space="preserve"> ausreichend zur Umsetzung der </w:t>
      </w:r>
      <w:proofErr w:type="gramStart"/>
      <w:r w:rsidRPr="000E40FF">
        <w:rPr>
          <w:rFonts w:eastAsia="Times New Roman" w:cstheme="minorHAnsi"/>
          <w:kern w:val="2"/>
          <w:sz w:val="24"/>
          <w:szCs w:val="24"/>
          <w:lang w:eastAsia="de-DE"/>
          <w14:ligatures w14:val="standardContextual"/>
        </w:rPr>
        <w:t>Istanbul  Konvention</w:t>
      </w:r>
      <w:proofErr w:type="gramEnd"/>
      <w:r w:rsidRPr="000E40FF">
        <w:rPr>
          <w:rFonts w:eastAsia="Times New Roman" w:cstheme="minorHAnsi"/>
          <w:kern w:val="2"/>
          <w:sz w:val="24"/>
          <w:szCs w:val="24"/>
          <w:lang w:eastAsia="de-DE"/>
          <w14:ligatures w14:val="standardContextual"/>
        </w:rPr>
        <w:t xml:space="preserve">, Artikel  31 und der UN Kinderrechtskonvention, Artikel  19. Der Gewaltschutz darf </w:t>
      </w:r>
      <w:r w:rsidRPr="000E40FF">
        <w:rPr>
          <w:rFonts w:eastAsia="Times New Roman" w:cstheme="minorHAnsi"/>
          <w:b/>
          <w:bCs/>
          <w:kern w:val="2"/>
          <w:sz w:val="24"/>
          <w:szCs w:val="24"/>
          <w:lang w:eastAsia="de-DE"/>
          <w14:ligatures w14:val="standardContextual"/>
        </w:rPr>
        <w:t xml:space="preserve">nicht </w:t>
      </w:r>
      <w:proofErr w:type="gramStart"/>
      <w:r w:rsidRPr="000E40FF">
        <w:rPr>
          <w:rFonts w:eastAsia="Times New Roman" w:cstheme="minorHAnsi"/>
          <w:kern w:val="2"/>
          <w:sz w:val="24"/>
          <w:szCs w:val="24"/>
          <w:lang w:eastAsia="de-DE"/>
          <w14:ligatures w14:val="standardContextual"/>
        </w:rPr>
        <w:t>hinter  dem</w:t>
      </w:r>
      <w:proofErr w:type="gramEnd"/>
      <w:r w:rsidRPr="000E40FF">
        <w:rPr>
          <w:rFonts w:eastAsia="Times New Roman" w:cstheme="minorHAnsi"/>
          <w:kern w:val="2"/>
          <w:sz w:val="24"/>
          <w:szCs w:val="24"/>
          <w:lang w:eastAsia="de-DE"/>
          <w14:ligatures w14:val="standardContextual"/>
        </w:rPr>
        <w:t xml:space="preserve"> Umgangs-  und Sorgerecht des gewaltausübenden Elternteils zurücktreten. Hierzu müssen die o.g. Bestimmungen ergänzt bzw. angepasst we</w:t>
      </w:r>
      <w:r w:rsidR="00174636" w:rsidRPr="000E40FF">
        <w:rPr>
          <w:rFonts w:eastAsia="Times New Roman" w:cstheme="minorHAnsi"/>
          <w:kern w:val="2"/>
          <w:sz w:val="24"/>
          <w:szCs w:val="24"/>
          <w:lang w:eastAsia="de-DE"/>
          <w14:ligatures w14:val="standardContextual"/>
        </w:rPr>
        <w:t xml:space="preserve">rden. Zu den Problemfeldern im </w:t>
      </w:r>
      <w:proofErr w:type="gramStart"/>
      <w:r w:rsidRPr="000E40FF">
        <w:rPr>
          <w:rFonts w:eastAsia="Times New Roman" w:cstheme="minorHAnsi"/>
          <w:kern w:val="2"/>
          <w:sz w:val="24"/>
          <w:szCs w:val="24"/>
          <w:lang w:eastAsia="de-DE"/>
          <w14:ligatures w14:val="standardContextual"/>
        </w:rPr>
        <w:t>Zusammenhang  mit</w:t>
      </w:r>
      <w:proofErr w:type="gramEnd"/>
      <w:r w:rsidRPr="000E40FF">
        <w:rPr>
          <w:rFonts w:eastAsia="Times New Roman" w:cstheme="minorHAnsi"/>
          <w:kern w:val="2"/>
          <w:sz w:val="24"/>
          <w:szCs w:val="24"/>
          <w:lang w:eastAsia="de-DE"/>
          <w14:ligatures w14:val="standardContextual"/>
        </w:rPr>
        <w:t xml:space="preserve">  häuslicher  Gewalt  gibt es zudem kaum Daten, die das Umgangs-und Sorgerechtsverfahre berücksichtigen. Ohne eine differenziertere Datenerhebung ist es nicht möglich, die strukturellen Probleme gezielt anzugehen.</w:t>
      </w:r>
    </w:p>
    <w:p w14:paraId="4A1286C7" w14:textId="77777777" w:rsidR="00B705F9" w:rsidRPr="000E40FF" w:rsidRDefault="00B705F9">
      <w:pPr>
        <w:rPr>
          <w:rFonts w:cstheme="minorHAnsi"/>
        </w:rPr>
      </w:pPr>
    </w:p>
    <w:sectPr w:rsidR="00B705F9" w:rsidRPr="000E40FF" w:rsidSect="000E40FF">
      <w:pgSz w:w="11906" w:h="16838"/>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C9E86" w14:textId="77777777" w:rsidR="00DD1E1A" w:rsidRDefault="00DD1E1A" w:rsidP="007A5418">
      <w:pPr>
        <w:spacing w:after="0" w:line="240" w:lineRule="auto"/>
      </w:pPr>
      <w:r>
        <w:separator/>
      </w:r>
    </w:p>
  </w:endnote>
  <w:endnote w:type="continuationSeparator" w:id="0">
    <w:p w14:paraId="5A1301B7" w14:textId="77777777" w:rsidR="00DD1E1A" w:rsidRDefault="00DD1E1A" w:rsidP="007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5F4C0" w14:textId="77777777" w:rsidR="00DD1E1A" w:rsidRDefault="00DD1E1A" w:rsidP="007A5418">
      <w:pPr>
        <w:spacing w:after="0" w:line="240" w:lineRule="auto"/>
      </w:pPr>
      <w:r>
        <w:separator/>
      </w:r>
    </w:p>
  </w:footnote>
  <w:footnote w:type="continuationSeparator" w:id="0">
    <w:p w14:paraId="14157572" w14:textId="77777777" w:rsidR="00DD1E1A" w:rsidRDefault="00DD1E1A" w:rsidP="007A5418">
      <w:pPr>
        <w:spacing w:after="0" w:line="240" w:lineRule="auto"/>
      </w:pPr>
      <w:r>
        <w:continuationSeparator/>
      </w:r>
    </w:p>
  </w:footnote>
  <w:footnote w:id="1">
    <w:p w14:paraId="23703D96" w14:textId="77777777" w:rsidR="007A5418" w:rsidRPr="007A5418" w:rsidRDefault="007A5418" w:rsidP="007A5418">
      <w:pPr>
        <w:rPr>
          <w:rFonts w:ascii="Aptos" w:eastAsia="Times New Roman" w:hAnsi="Aptos" w:cs="Times New Roman"/>
          <w:kern w:val="2"/>
          <w:sz w:val="20"/>
          <w:szCs w:val="20"/>
          <w:lang w:eastAsia="de-DE"/>
          <w14:ligatures w14:val="standardContextual"/>
        </w:rPr>
      </w:pPr>
      <w:r>
        <w:rPr>
          <w:rStyle w:val="FootnoteReference"/>
        </w:rPr>
        <w:footnoteRef/>
      </w:r>
      <w:r>
        <w:t xml:space="preserve"> </w:t>
      </w:r>
      <w:r w:rsidRPr="007A5418">
        <w:rPr>
          <w:rFonts w:ascii="Aptos" w:eastAsia="Times New Roman" w:hAnsi="Aptos" w:cs="Times New Roman"/>
          <w:kern w:val="2"/>
          <w:sz w:val="20"/>
          <w:szCs w:val="20"/>
          <w:lang w:eastAsia="de-DE"/>
          <w14:ligatures w14:val="standardContextual"/>
        </w:rPr>
        <w:t xml:space="preserve">Regelvermutung für </w:t>
      </w:r>
      <w:proofErr w:type="spellStart"/>
      <w:r w:rsidRPr="007A5418">
        <w:rPr>
          <w:rFonts w:ascii="Aptos" w:eastAsia="Times New Roman" w:hAnsi="Aptos" w:cs="Times New Roman"/>
          <w:kern w:val="2"/>
          <w:sz w:val="20"/>
          <w:szCs w:val="20"/>
          <w:lang w:eastAsia="de-DE"/>
          <w14:ligatures w14:val="standardContextual"/>
        </w:rPr>
        <w:t>Kindeswohldienlichkeit</w:t>
      </w:r>
      <w:proofErr w:type="spellEnd"/>
      <w:r w:rsidRPr="007A5418">
        <w:rPr>
          <w:rFonts w:ascii="Aptos" w:eastAsia="Times New Roman" w:hAnsi="Aptos" w:cs="Times New Roman"/>
          <w:kern w:val="2"/>
          <w:sz w:val="20"/>
          <w:szCs w:val="20"/>
          <w:lang w:eastAsia="de-DE"/>
          <w14:ligatures w14:val="standardContextual"/>
        </w:rPr>
        <w:t xml:space="preserve">, § 1626 </w:t>
      </w:r>
      <w:proofErr w:type="spellStart"/>
      <w:r w:rsidRPr="007A5418">
        <w:rPr>
          <w:rFonts w:ascii="Aptos" w:eastAsia="Times New Roman" w:hAnsi="Aptos" w:cs="Times New Roman"/>
          <w:kern w:val="2"/>
          <w:sz w:val="20"/>
          <w:szCs w:val="20"/>
          <w:lang w:eastAsia="de-DE"/>
          <w14:ligatures w14:val="standardContextual"/>
        </w:rPr>
        <w:t>Abs</w:t>
      </w:r>
      <w:proofErr w:type="spellEnd"/>
      <w:r w:rsidRPr="007A5418">
        <w:rPr>
          <w:rFonts w:ascii="Aptos" w:eastAsia="Times New Roman" w:hAnsi="Aptos" w:cs="Times New Roman"/>
          <w:kern w:val="2"/>
          <w:sz w:val="20"/>
          <w:szCs w:val="20"/>
          <w:lang w:eastAsia="de-DE"/>
          <w14:ligatures w14:val="standardContextual"/>
        </w:rPr>
        <w:t>, 3 BGB</w:t>
      </w:r>
    </w:p>
    <w:p w14:paraId="23F7710C" w14:textId="77777777" w:rsidR="007A5418" w:rsidRPr="007A5418" w:rsidRDefault="007A5418" w:rsidP="007A5418">
      <w:pPr>
        <w:spacing w:after="160"/>
        <w:rPr>
          <w:rFonts w:ascii="Aptos" w:eastAsia="Times New Roman" w:hAnsi="Aptos" w:cs="Times New Roman"/>
          <w:kern w:val="2"/>
          <w:sz w:val="20"/>
          <w:szCs w:val="20"/>
          <w:lang w:eastAsia="de-DE"/>
          <w14:ligatures w14:val="standardContextual"/>
        </w:rPr>
      </w:pPr>
      <w:r w:rsidRPr="007A5418">
        <w:rPr>
          <w:rFonts w:ascii="Aptos" w:eastAsia="Times New Roman" w:hAnsi="Aptos" w:cs="Times New Roman"/>
          <w:kern w:val="2"/>
          <w:sz w:val="20"/>
          <w:szCs w:val="20"/>
          <w:lang w:eastAsia="de-DE"/>
          <w14:ligatures w14:val="standardContextual"/>
        </w:rPr>
        <w:t xml:space="preserve">Die für den Umgang wesentliche Grundsatznorm des § 1626 Abs. 3 BGB trifft die Vermutung, dass der Umgang mit den Eltern und anderen wichtigen Erziehungspersonen in der Regel dem Wohl des Kindes dient. Zwar ordnet die Vorschrift selbst keine Rechtsfolge an, jedoch hat sie bei jeder Vorschrift, die eine Kindeswohlprüfung vorsieht, Berücksichtigung zu finden. </w:t>
      </w:r>
    </w:p>
    <w:p w14:paraId="66B88CC2" w14:textId="77777777" w:rsidR="007A5418" w:rsidRDefault="007A5418">
      <w:pPr>
        <w:pStyle w:val="FootnoteText"/>
      </w:pPr>
    </w:p>
  </w:footnote>
  <w:footnote w:id="2">
    <w:p w14:paraId="50FCDF8B" w14:textId="77777777" w:rsidR="00264034" w:rsidRPr="00264034" w:rsidRDefault="00264034" w:rsidP="00264034">
      <w:pPr>
        <w:rPr>
          <w:rFonts w:ascii="Aptos" w:eastAsia="Times New Roman" w:hAnsi="Aptos" w:cs="Times New Roman"/>
          <w:kern w:val="2"/>
          <w:sz w:val="20"/>
          <w:szCs w:val="20"/>
          <w:lang w:eastAsia="de-DE"/>
          <w14:ligatures w14:val="standardContextual"/>
        </w:rPr>
      </w:pPr>
      <w:r>
        <w:rPr>
          <w:rStyle w:val="FootnoteReference"/>
        </w:rPr>
        <w:footnoteRef/>
      </w:r>
      <w:r>
        <w:t xml:space="preserve"> </w:t>
      </w:r>
      <w:r w:rsidRPr="00264034">
        <w:rPr>
          <w:rFonts w:ascii="Aptos" w:eastAsia="Times New Roman" w:hAnsi="Aptos" w:cs="Times New Roman"/>
          <w:kern w:val="2"/>
          <w:sz w:val="20"/>
          <w:szCs w:val="20"/>
          <w:lang w:eastAsia="de-DE"/>
          <w14:ligatures w14:val="standardContextual"/>
        </w:rPr>
        <w:t>Regelvermutung für kurzfristige Umgangseinschränkungen</w:t>
      </w:r>
    </w:p>
    <w:p w14:paraId="1018B503" w14:textId="77777777" w:rsidR="00264034" w:rsidRPr="00264034" w:rsidRDefault="00264034" w:rsidP="00264034">
      <w:pPr>
        <w:spacing w:after="0" w:line="240" w:lineRule="auto"/>
        <w:rPr>
          <w:rFonts w:ascii="Aptos" w:eastAsia="Times New Roman" w:hAnsi="Aptos" w:cs="Times New Roman"/>
          <w:kern w:val="2"/>
          <w:sz w:val="20"/>
          <w:szCs w:val="20"/>
          <w:lang w:eastAsia="de-DE"/>
          <w14:ligatures w14:val="standardContextual"/>
        </w:rPr>
      </w:pPr>
      <w:r w:rsidRPr="00264034">
        <w:rPr>
          <w:rFonts w:ascii="Aptos" w:eastAsia="Times New Roman" w:hAnsi="Aptos" w:cs="Times New Roman"/>
          <w:kern w:val="2"/>
          <w:sz w:val="20"/>
          <w:szCs w:val="20"/>
          <w:lang w:eastAsia="de-DE"/>
          <w14:ligatures w14:val="standardContextual"/>
        </w:rPr>
        <w:t>Insbesondere für die Situation vor Sachverhaltsaufklärung soll bei Anhaltspunkten für häusliche Gewalt die erleichterte Möglichkeit im Gesetz geschaffen werden, temporäre und kurzfristige Umgangsausschlüsse anzuordnen.</w:t>
      </w:r>
    </w:p>
    <w:p w14:paraId="1EE4DB94" w14:textId="77777777" w:rsidR="00264034" w:rsidRDefault="002640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802FD"/>
    <w:multiLevelType w:val="hybridMultilevel"/>
    <w:tmpl w:val="CF3E113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18"/>
    <w:rsid w:val="000E40FF"/>
    <w:rsid w:val="00174636"/>
    <w:rsid w:val="00264034"/>
    <w:rsid w:val="007A5418"/>
    <w:rsid w:val="00B705F9"/>
    <w:rsid w:val="00BD6AC3"/>
    <w:rsid w:val="00DD1E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E8FD"/>
  <w15:chartTrackingRefBased/>
  <w15:docId w15:val="{C682DF53-614E-420B-A64D-5A95A8E6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5418"/>
    <w:pPr>
      <w:spacing w:after="0" w:line="240" w:lineRule="auto"/>
    </w:pPr>
    <w:rPr>
      <w:rFonts w:ascii="Aptos" w:eastAsia="Times New Roman" w:hAnsi="Aptos" w:cs="Times New Roman"/>
      <w:kern w:val="2"/>
      <w:sz w:val="20"/>
      <w:szCs w:val="20"/>
      <w:lang w:eastAsia="de-DE"/>
      <w14:ligatures w14:val="standardContextual"/>
    </w:rPr>
  </w:style>
  <w:style w:type="character" w:customStyle="1" w:styleId="FootnoteTextChar">
    <w:name w:val="Footnote Text Char"/>
    <w:basedOn w:val="DefaultParagraphFont"/>
    <w:link w:val="FootnoteText"/>
    <w:uiPriority w:val="99"/>
    <w:semiHidden/>
    <w:rsid w:val="007A5418"/>
    <w:rPr>
      <w:rFonts w:ascii="Aptos" w:eastAsia="Times New Roman" w:hAnsi="Aptos" w:cs="Times New Roman"/>
      <w:kern w:val="2"/>
      <w:sz w:val="20"/>
      <w:szCs w:val="20"/>
      <w:lang w:eastAsia="de-DE"/>
      <w14:ligatures w14:val="standardContextual"/>
    </w:rPr>
  </w:style>
  <w:style w:type="character" w:styleId="FootnoteReference">
    <w:name w:val="footnote reference"/>
    <w:basedOn w:val="DefaultParagraphFont"/>
    <w:uiPriority w:val="99"/>
    <w:semiHidden/>
    <w:unhideWhenUsed/>
    <w:rsid w:val="007A5418"/>
    <w:rPr>
      <w:vertAlign w:val="superscript"/>
    </w:rPr>
  </w:style>
  <w:style w:type="paragraph" w:styleId="ListParagraph">
    <w:name w:val="List Paragraph"/>
    <w:basedOn w:val="Normal"/>
    <w:uiPriority w:val="34"/>
    <w:qFormat/>
    <w:rsid w:val="007A5418"/>
    <w:pPr>
      <w:ind w:left="720"/>
      <w:contextualSpacing/>
    </w:pPr>
  </w:style>
  <w:style w:type="paragraph" w:styleId="BalloonText">
    <w:name w:val="Balloon Text"/>
    <w:basedOn w:val="Normal"/>
    <w:link w:val="BalloonTextChar"/>
    <w:uiPriority w:val="99"/>
    <w:semiHidden/>
    <w:unhideWhenUsed/>
    <w:rsid w:val="000E40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40FF"/>
    <w:rPr>
      <w:rFonts w:ascii="Times New Roman" w:hAnsi="Times New Roman" w:cs="Times New Roman"/>
      <w:sz w:val="18"/>
      <w:szCs w:val="18"/>
    </w:rPr>
  </w:style>
  <w:style w:type="character" w:styleId="LineNumber">
    <w:name w:val="line number"/>
    <w:basedOn w:val="DefaultParagraphFont"/>
    <w:uiPriority w:val="99"/>
    <w:semiHidden/>
    <w:unhideWhenUsed/>
    <w:rsid w:val="000E4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031894">
      <w:bodyDiv w:val="1"/>
      <w:marLeft w:val="0"/>
      <w:marRight w:val="0"/>
      <w:marTop w:val="0"/>
      <w:marBottom w:val="0"/>
      <w:divBdr>
        <w:top w:val="none" w:sz="0" w:space="0" w:color="auto"/>
        <w:left w:val="none" w:sz="0" w:space="0" w:color="auto"/>
        <w:bottom w:val="none" w:sz="0" w:space="0" w:color="auto"/>
        <w:right w:val="none" w:sz="0" w:space="0" w:color="auto"/>
      </w:divBdr>
    </w:div>
    <w:div w:id="1980108367">
      <w:bodyDiv w:val="1"/>
      <w:marLeft w:val="0"/>
      <w:marRight w:val="0"/>
      <w:marTop w:val="0"/>
      <w:marBottom w:val="0"/>
      <w:divBdr>
        <w:top w:val="none" w:sz="0" w:space="0" w:color="auto"/>
        <w:left w:val="none" w:sz="0" w:space="0" w:color="auto"/>
        <w:bottom w:val="none" w:sz="0" w:space="0" w:color="auto"/>
        <w:right w:val="none" w:sz="0" w:space="0" w:color="auto"/>
      </w:divBdr>
    </w:div>
    <w:div w:id="19874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4D30-8FFF-4B6F-88A8-4E5B0813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kdvz Rhein-Erft-Rur</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Zitzmann-Bintz, Marisa</dc:creator>
  <cp:keywords/>
  <dc:description/>
  <cp:lastModifiedBy>Carolin Kirsch</cp:lastModifiedBy>
  <cp:revision>2</cp:revision>
  <dcterms:created xsi:type="dcterms:W3CDTF">2024-06-15T12:34:00Z</dcterms:created>
  <dcterms:modified xsi:type="dcterms:W3CDTF">2024-06-15T12:34:00Z</dcterms:modified>
</cp:coreProperties>
</file>